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A763" w14:textId="6C2B9B50" w:rsidR="004E4CD0" w:rsidRDefault="0078550E" w:rsidP="004E4CD0">
      <w:pPr>
        <w:spacing w:line="259" w:lineRule="auto"/>
        <w:ind w:left="-2835"/>
        <w:jc w:val="both"/>
        <w:rPr>
          <w:rFonts w:ascii="Gotham HTF Light" w:hAnsi="Gotham HTF Light"/>
          <w:b/>
          <w:color w:val="276AA5" w:themeColor="accent6"/>
        </w:rPr>
      </w:pPr>
      <w:bookmarkStart w:id="0" w:name="_GoBack"/>
      <w:bookmarkEnd w:id="0"/>
      <w:r w:rsidRPr="008F2E7E">
        <w:rPr>
          <w:rFonts w:ascii="Gotham HTF Light" w:hAnsi="Gotham HTF Light"/>
          <w:b/>
          <w:noProof/>
          <w:color w:val="276AA5" w:themeColor="accent6"/>
          <w:sz w:val="46"/>
          <w:szCs w:val="36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FF2339D" wp14:editId="7ACDFE45">
            <wp:simplePos x="0" y="0"/>
            <wp:positionH relativeFrom="column">
              <wp:posOffset>-1752600</wp:posOffset>
            </wp:positionH>
            <wp:positionV relativeFrom="page">
              <wp:posOffset>86995</wp:posOffset>
            </wp:positionV>
            <wp:extent cx="1461135" cy="7842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génériqu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couleur-Accent6"/>
        <w:tblW w:w="10485" w:type="dxa"/>
        <w:tblInd w:w="-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4E4CD0" w:rsidRPr="004E4CD0" w14:paraId="66514F43" w14:textId="77777777" w:rsidTr="00B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shd w:val="clear" w:color="auto" w:fill="F5BD25" w:themeFill="accent4"/>
            <w:vAlign w:val="center"/>
          </w:tcPr>
          <w:p w14:paraId="355455B3" w14:textId="19388466" w:rsidR="004E4CD0" w:rsidRPr="004E4CD0" w:rsidRDefault="004E4CD0" w:rsidP="00B57067">
            <w:pPr>
              <w:spacing w:line="240" w:lineRule="auto"/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</w:pPr>
            <w:bookmarkStart w:id="1" w:name="_Hlk69293774"/>
            <w:r w:rsidRPr="004E4CD0"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>Missions</w: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shd w:val="clear" w:color="auto" w:fill="F5BD25" w:themeFill="accent4"/>
            <w:vAlign w:val="center"/>
          </w:tcPr>
          <w:p w14:paraId="7F687B5B" w14:textId="02FC18D5" w:rsidR="004E4CD0" w:rsidRPr="004E4CD0" w:rsidRDefault="004E4CD0" w:rsidP="00194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</w:pPr>
            <w:r w:rsidRPr="004E4CD0"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>Activités</w:t>
            </w:r>
            <w:r w:rsidR="0078550E"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 xml:space="preserve"> ANIMATEUR COMMERCE ASSISTANT</w:t>
            </w:r>
          </w:p>
        </w:tc>
      </w:tr>
      <w:tr w:rsidR="004E4CD0" w:rsidRPr="00020CAC" w14:paraId="399B10B1" w14:textId="77777777" w:rsidTr="0054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968EEBA" w14:textId="231D4A3A" w:rsidR="004E4CD0" w:rsidRPr="004E4CD0" w:rsidRDefault="004E4CD0" w:rsidP="004E4CD0">
            <w:pPr>
              <w:rPr>
                <w:rFonts w:ascii="Gotham HTF Light" w:hAnsi="Gotham HTF Light" w:cs="Arial"/>
                <w:b/>
                <w:color w:val="0069A6" w:themeColor="accent1"/>
                <w:sz w:val="24"/>
              </w:rPr>
            </w:pPr>
            <w:r w:rsidRPr="004E4CD0">
              <w:rPr>
                <w:rFonts w:ascii="Gotham HTF Light" w:hAnsi="Gotham HTF Light" w:cs="Arial"/>
                <w:b/>
                <w:color w:val="0069A6" w:themeColor="accent1"/>
                <w:sz w:val="24"/>
              </w:rPr>
              <w:t>Principales</w:t>
            </w:r>
          </w:p>
        </w:tc>
      </w:tr>
      <w:tr w:rsidR="004E4CD0" w:rsidRPr="00020CAC" w14:paraId="6D5E0E1A" w14:textId="77777777" w:rsidTr="00B570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4205547" w14:textId="6396B142" w:rsidR="004E4CD0" w:rsidRDefault="00997FD6" w:rsidP="001D480B">
            <w:pPr>
              <w:spacing w:line="240" w:lineRule="auto"/>
              <w:rPr>
                <w:rFonts w:ascii="Gotham HTF Light" w:hAnsi="Gotham HTF Light" w:cs="Arial"/>
                <w:bCs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Interface et a</w:t>
            </w:r>
            <w:r w:rsidR="006006D7"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ccompagnement de proximité</w: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2827576" w14:textId="4F2AC9F6" w:rsidR="00E942DC" w:rsidRPr="00E942DC" w:rsidRDefault="006006D7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Prendre en charge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l’accueil physique et téléphonique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du </w:t>
            </w:r>
            <w:r w:rsidR="0086129B">
              <w:rPr>
                <w:rFonts w:ascii="Gotham HTF Light" w:hAnsi="Gotham HTF Light"/>
                <w:bCs/>
                <w:color w:val="0069A6" w:themeColor="accent1"/>
                <w:szCs w:val="16"/>
              </w:rPr>
              <w:t>« guichet unique commerce »</w:t>
            </w:r>
          </w:p>
          <w:p w14:paraId="0A19FFC3" w14:textId="2E335DFE" w:rsidR="006006D7" w:rsidRPr="00E942DC" w:rsidRDefault="006006D7" w:rsidP="0060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Renseigner, orienter, a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ccompagner les </w:t>
            </w:r>
            <w:r w:rsid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commerçants et 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porteurs de projet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au sein des réseaux d’acteurs institutionnels et professionnels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(EPN,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commune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, CCI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PN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, CMA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, UMIH, Initiative Eure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…)</w:t>
            </w:r>
          </w:p>
          <w:p w14:paraId="59BA3269" w14:textId="34EE5611" w:rsidR="006006D7" w:rsidRPr="00E942DC" w:rsidRDefault="006006D7" w:rsidP="0060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Faciliter l’instruction des demandes d’aide en lien avec les 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institutions et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partenaires (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demandes d’urbanisme, aides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FISAC, Plan Commerce…)</w:t>
            </w:r>
          </w:p>
          <w:p w14:paraId="1B8CD7FF" w14:textId="2AEA20BD" w:rsidR="00E942DC" w:rsidRPr="00E942DC" w:rsidRDefault="00A9583B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Se positionner comme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contact permanent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d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es commerçants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en assurant un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>suivi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997FD6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personnalisé 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de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leur</w:t>
            </w:r>
            <w:r w:rsid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>s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>demandes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(appui et facilitation des démarches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…)</w:t>
            </w:r>
          </w:p>
          <w:p w14:paraId="74AEE970" w14:textId="77777777" w:rsidR="004E4CD0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Contribu</w:t>
            </w:r>
            <w:r w:rsid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>er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à l’organisation d’évènements, réunions (invitation, relance…)</w:t>
            </w:r>
          </w:p>
          <w:p w14:paraId="17748D51" w14:textId="19EA67EF" w:rsidR="00997FD6" w:rsidRPr="00E942DC" w:rsidRDefault="00997FD6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Accompagner le développement d’actions de dynamisation du commerce</w:t>
            </w:r>
          </w:p>
        </w:tc>
      </w:tr>
      <w:bookmarkEnd w:id="1"/>
      <w:tr w:rsidR="004E4CD0" w:rsidRPr="00020CAC" w14:paraId="15B33DFD" w14:textId="77777777" w:rsidTr="00B5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C4FE5B1" w14:textId="74A2ACDC" w:rsidR="004E4CD0" w:rsidRDefault="00997FD6" w:rsidP="001D480B">
            <w:pPr>
              <w:spacing w:line="240" w:lineRule="auto"/>
              <w:rPr>
                <w:rFonts w:ascii="Gotham HTF Light" w:hAnsi="Gotham HTF Light" w:cs="Arial"/>
                <w:bCs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R</w:t>
            </w:r>
            <w:r w:rsidR="00E942DC"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elais d’informations</w:t>
            </w: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 xml:space="preserve"> et de médiation</w: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7F53833A" w14:textId="3ED2463F" w:rsidR="006006D7" w:rsidRDefault="006006D7" w:rsidP="00600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Être un relai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de terrain 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d’information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s ascendantes et descendantes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auprès des commerçants</w:t>
            </w:r>
          </w:p>
          <w:p w14:paraId="23DDA552" w14:textId="04131675" w:rsidR="00A9583B" w:rsidRPr="00E942DC" w:rsidRDefault="00A9583B" w:rsidP="00600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Faciliter la concertation avec les commerçants et acteurs locaux</w:t>
            </w:r>
          </w:p>
          <w:p w14:paraId="78848C44" w14:textId="3BAA223C" w:rsidR="00E942DC" w:rsidRPr="00E942DC" w:rsidRDefault="006006D7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Contribuer à l’observation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du tissu commercial en actualisant en permanence 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la base de données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des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commerces et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>l’inventaire des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locaux vacants de l’agglomération</w:t>
            </w:r>
          </w:p>
          <w:p w14:paraId="302BA705" w14:textId="1B307DC5" w:rsidR="004E4CD0" w:rsidRPr="00E942DC" w:rsidRDefault="00E942DC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Relayer sur le terrain 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>ou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via 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>des outils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de communication divers (réseaux sociaux…) les 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informations </w:t>
            </w:r>
            <w:r w:rsidR="0004314F">
              <w:rPr>
                <w:rFonts w:ascii="Gotham HTF Light" w:hAnsi="Gotham HTF Light"/>
                <w:bCs/>
                <w:color w:val="0069A6" w:themeColor="accent1"/>
                <w:szCs w:val="16"/>
              </w:rPr>
              <w:t>dédiées aux commerçants</w:t>
            </w:r>
          </w:p>
        </w:tc>
      </w:tr>
      <w:tr w:rsidR="00E942DC" w:rsidRPr="00020CAC" w14:paraId="29EF28AF" w14:textId="77777777" w:rsidTr="00B570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3D87DE3" w14:textId="18479BA6" w:rsidR="00E942DC" w:rsidRDefault="00997FD6" w:rsidP="001D480B">
            <w:pPr>
              <w:spacing w:line="240" w:lineRule="auto"/>
              <w:rPr>
                <w:rFonts w:ascii="Gotham HTF Light" w:hAnsi="Gotham HTF Light" w:cs="Arial"/>
                <w:bCs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Soutien à l’</w:t>
            </w:r>
            <w:r w:rsidR="0004314F"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a</w:t>
            </w: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nimation du tissu commerçant</w: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12E1EA6" w14:textId="74404770" w:rsidR="00E942DC" w:rsidRPr="00E942DC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Contribuer à la réflexion sur l’animation des centres-villes</w:t>
            </w:r>
            <w:r w:rsidR="00997FD6">
              <w:rPr>
                <w:rFonts w:ascii="Gotham HTF Light" w:hAnsi="Gotham HTF Light"/>
                <w:bCs/>
                <w:color w:val="0069A6" w:themeColor="accent1"/>
                <w:szCs w:val="16"/>
              </w:rPr>
              <w:t>/centres bourgs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commerçants :</w:t>
            </w:r>
          </w:p>
          <w:p w14:paraId="615A71D6" w14:textId="143CED0E" w:rsidR="00E942DC" w:rsidRPr="00997FD6" w:rsidRDefault="00997FD6" w:rsidP="00997FD6">
            <w:pPr>
              <w:pStyle w:val="Paragraphedelist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Contribuer à la définition et la promotion des animations commerciales avec les acteurs et services municipaux concernés</w:t>
            </w:r>
          </w:p>
          <w:p w14:paraId="65CE0D09" w14:textId="14628FFE" w:rsidR="00E942DC" w:rsidRPr="006006D7" w:rsidRDefault="00997FD6" w:rsidP="006006D7">
            <w:pPr>
              <w:pStyle w:val="Paragraphedelist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Favoriser l’implication, la visibilité et la valorisation des </w:t>
            </w:r>
            <w:r w:rsidR="00E942DC" w:rsidRP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commerçants dans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le cadre d’événements locaux </w:t>
            </w:r>
          </w:p>
          <w:p w14:paraId="2CD705F6" w14:textId="0223A69D" w:rsidR="00E942DC" w:rsidRPr="006006D7" w:rsidRDefault="00997FD6" w:rsidP="006006D7">
            <w:pPr>
              <w:pStyle w:val="Paragraphedelist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Apporter</w:t>
            </w:r>
            <w:r w:rsidR="00E942DC" w:rsidRPr="006006D7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un appui technique aux animations (organisation, présence sur les événements…)</w:t>
            </w:r>
          </w:p>
          <w:p w14:paraId="41867F0B" w14:textId="77777777" w:rsidR="0004314F" w:rsidRDefault="0004314F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Participer aux relations avec les unions/associations de commerçants</w:t>
            </w:r>
          </w:p>
          <w:p w14:paraId="43623745" w14:textId="73517512" w:rsidR="00E942DC" w:rsidRPr="00E942DC" w:rsidRDefault="0004314F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Aider à sensibiliser les commerçants aux démarches 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qualité de service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, accessibilité, numérique…</w:t>
            </w:r>
          </w:p>
        </w:tc>
      </w:tr>
      <w:tr w:rsidR="004E4CD0" w:rsidRPr="004E4CD0" w14:paraId="377B5854" w14:textId="77777777" w:rsidTr="0032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6BDB953" w14:textId="7B45831C" w:rsidR="004E4CD0" w:rsidRPr="004E4CD0" w:rsidRDefault="004E4CD0" w:rsidP="004E4CD0">
            <w:pPr>
              <w:rPr>
                <w:rFonts w:ascii="Gotham HTF Light" w:hAnsi="Gotham HTF Light" w:cs="Arial"/>
                <w:b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/>
                <w:color w:val="0069A6" w:themeColor="accent1"/>
                <w:sz w:val="24"/>
              </w:rPr>
              <w:t>Complémentaires</w:t>
            </w:r>
          </w:p>
        </w:tc>
      </w:tr>
      <w:tr w:rsidR="004E4CD0" w:rsidRPr="004E4CD0" w14:paraId="7F97E182" w14:textId="77777777" w:rsidTr="00B570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D663A29" w14:textId="77777777" w:rsidR="004E4CD0" w:rsidRDefault="004E4CD0" w:rsidP="004E4CD0">
            <w:pPr>
              <w:jc w:val="center"/>
              <w:rPr>
                <w:rFonts w:ascii="Gotham HTF Light" w:hAnsi="Gotham HTF Light" w:cs="Arial"/>
                <w:b/>
                <w:color w:val="0069A6" w:themeColor="accent1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7B60BCB" w14:textId="6467332C" w:rsidR="00E942DC" w:rsidRPr="00E942DC" w:rsidRDefault="0004314F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Contribuer à la p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romotion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et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la 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valorisation du territoire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(tourisme, culture, patrimoine naturel, historique…)</w:t>
            </w:r>
          </w:p>
          <w:p w14:paraId="25D1E055" w14:textId="4B18E312" w:rsidR="004E4CD0" w:rsidRPr="00E942DC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 w:cs="Arial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Particip</w:t>
            </w:r>
            <w:r w:rsidR="00FA3A15">
              <w:rPr>
                <w:rFonts w:ascii="Gotham HTF Light" w:hAnsi="Gotham HTF Light"/>
                <w:bCs/>
                <w:color w:val="0069A6" w:themeColor="accent1"/>
                <w:szCs w:val="16"/>
              </w:rPr>
              <w:t>er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ponctuelle</w:t>
            </w:r>
            <w:r w:rsidR="00FA3A15">
              <w:rPr>
                <w:rFonts w:ascii="Gotham HTF Light" w:hAnsi="Gotham HTF Light"/>
                <w:bCs/>
                <w:color w:val="0069A6" w:themeColor="accent1"/>
                <w:szCs w:val="16"/>
              </w:rPr>
              <w:t>ment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aux opérations de promotion et de communication (salons, manifestations locales…)</w:t>
            </w:r>
          </w:p>
        </w:tc>
      </w:tr>
    </w:tbl>
    <w:p w14:paraId="36259590" w14:textId="1F1EA7BF" w:rsidR="004E4CD0" w:rsidRDefault="004E4CD0" w:rsidP="004E4CD0">
      <w:pPr>
        <w:spacing w:line="259" w:lineRule="auto"/>
        <w:ind w:left="-2835"/>
        <w:jc w:val="both"/>
        <w:rPr>
          <w:rFonts w:ascii="Gotham HTF Light" w:hAnsi="Gotham HTF Light"/>
          <w:b/>
          <w:color w:val="276AA5" w:themeColor="accent6"/>
        </w:rPr>
      </w:pPr>
    </w:p>
    <w:tbl>
      <w:tblPr>
        <w:tblStyle w:val="Grillecouleur-Accent6"/>
        <w:tblW w:w="10485" w:type="dxa"/>
        <w:tblInd w:w="-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1D480B" w:rsidRPr="004E4CD0" w14:paraId="309CF232" w14:textId="77777777" w:rsidTr="00623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shd w:val="clear" w:color="auto" w:fill="F5BD25" w:themeFill="accent4"/>
            <w:vAlign w:val="center"/>
          </w:tcPr>
          <w:p w14:paraId="5D340B28" w14:textId="30F75510" w:rsidR="001D480B" w:rsidRPr="001D480B" w:rsidRDefault="001D480B" w:rsidP="001D480B">
            <w:pPr>
              <w:spacing w:line="240" w:lineRule="auto"/>
              <w:jc w:val="center"/>
              <w:rPr>
                <w:rFonts w:ascii="Gotham HTF Light" w:hAnsi="Gotham HTF Light" w:cs="Arial"/>
                <w:b w:val="0"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 xml:space="preserve">Pré requis </w:t>
            </w:r>
            <w:r w:rsidR="006C5112"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>et</w:t>
            </w:r>
            <w:r>
              <w:rPr>
                <w:rFonts w:ascii="Gotham HTF Light" w:hAnsi="Gotham HTF Light" w:cs="Arial"/>
                <w:bCs w:val="0"/>
                <w:color w:val="0069A6" w:themeColor="accent1"/>
                <w:sz w:val="24"/>
              </w:rPr>
              <w:t xml:space="preserve"> Compétences</w:t>
            </w:r>
          </w:p>
        </w:tc>
      </w:tr>
      <w:tr w:rsidR="001D480B" w:rsidRPr="00020CAC" w14:paraId="59FE5218" w14:textId="77777777" w:rsidTr="00B5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584D10B" w14:textId="76E27C90" w:rsidR="001D480B" w:rsidRDefault="001D480B" w:rsidP="0019478B">
            <w:pPr>
              <w:spacing w:line="240" w:lineRule="auto"/>
              <w:rPr>
                <w:rFonts w:ascii="Gotham HTF Light" w:hAnsi="Gotham HTF Light" w:cs="Arial"/>
                <w:bCs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Compétences techniques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7F6AE97" w14:textId="4BC073FC" w:rsidR="00E942DC" w:rsidRPr="00E942DC" w:rsidRDefault="00E942DC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Diplôme Niveau </w:t>
            </w:r>
            <w:r w:rsidR="00A774DA">
              <w:rPr>
                <w:rFonts w:ascii="Gotham HTF Light" w:hAnsi="Gotham HTF Light"/>
                <w:bCs/>
                <w:color w:val="0069A6" w:themeColor="accent1"/>
                <w:szCs w:val="16"/>
              </w:rPr>
              <w:t>3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</w:t>
            </w:r>
            <w:r w:rsidR="006C5112">
              <w:rPr>
                <w:rFonts w:ascii="Gotham HTF Light" w:hAnsi="Gotham HTF Light"/>
                <w:bCs/>
                <w:color w:val="0069A6" w:themeColor="accent1"/>
                <w:szCs w:val="16"/>
              </w:rPr>
              <w:t>(BTS Action commerciale, DUT Technico-commercial…)</w:t>
            </w:r>
          </w:p>
          <w:p w14:paraId="6D94A0A8" w14:textId="77777777" w:rsidR="00E942DC" w:rsidRPr="00E942DC" w:rsidRDefault="00E942DC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Maîtrise de l’environnement Windows de base : Word, Excel…</w:t>
            </w:r>
          </w:p>
          <w:p w14:paraId="79E44A02" w14:textId="77777777" w:rsidR="00E942DC" w:rsidRPr="00E942DC" w:rsidRDefault="00E942DC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Maîtrise des outils numériques</w:t>
            </w:r>
          </w:p>
          <w:p w14:paraId="26B41DA6" w14:textId="77777777" w:rsidR="001D480B" w:rsidRDefault="006C5112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Connaissance des acteurs institutionnels / mesures dédiés au 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commerce de proximité</w:t>
            </w:r>
          </w:p>
          <w:p w14:paraId="45C2B749" w14:textId="41A242EA" w:rsidR="00A9583B" w:rsidRPr="00B57067" w:rsidRDefault="00A9583B" w:rsidP="00E94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 w:val="22"/>
                <w:szCs w:val="18"/>
              </w:rPr>
            </w:pPr>
            <w:r w:rsidRP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>Connaissance du territoire et du tissu commerçant local</w:t>
            </w:r>
          </w:p>
        </w:tc>
      </w:tr>
      <w:tr w:rsidR="001D480B" w:rsidRPr="00020CAC" w14:paraId="493D5BFD" w14:textId="77777777" w:rsidTr="00B570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95B8908" w14:textId="5F444A39" w:rsidR="001D480B" w:rsidRDefault="001D480B" w:rsidP="0019478B">
            <w:pPr>
              <w:spacing w:line="240" w:lineRule="auto"/>
              <w:rPr>
                <w:rFonts w:ascii="Gotham HTF Light" w:hAnsi="Gotham HTF Light" w:cs="Arial"/>
                <w:bCs/>
                <w:color w:val="0069A6" w:themeColor="accent1"/>
                <w:sz w:val="24"/>
              </w:rPr>
            </w:pPr>
            <w:r>
              <w:rPr>
                <w:rFonts w:ascii="Gotham HTF Light" w:hAnsi="Gotham HTF Light" w:cs="Arial"/>
                <w:bCs/>
                <w:color w:val="0069A6" w:themeColor="accent1"/>
                <w:sz w:val="24"/>
              </w:rPr>
              <w:t>Aptitudes professionnelles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4B36B51B" w14:textId="592F751E" w:rsidR="00E942DC" w:rsidRPr="00E942DC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Bonne présentation </w:t>
            </w:r>
            <w:r w:rsidR="00A71895">
              <w:rPr>
                <w:rFonts w:ascii="Gotham HTF Light" w:hAnsi="Gotham HTF Light"/>
                <w:bCs/>
                <w:color w:val="0069A6" w:themeColor="accent1"/>
                <w:szCs w:val="16"/>
              </w:rPr>
              <w:t>et aisance relationnelle</w:t>
            </w:r>
          </w:p>
          <w:p w14:paraId="6FA536EC" w14:textId="26E2D0C0" w:rsidR="00E942DC" w:rsidRPr="00E942DC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Rigueur</w:t>
            </w:r>
            <w:r w:rsidR="00A71895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et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sens de l’organisation</w:t>
            </w:r>
          </w:p>
          <w:p w14:paraId="3038E78F" w14:textId="2A3C64D1" w:rsidR="00E942DC" w:rsidRPr="00E942DC" w:rsidRDefault="00DD2766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Sens du travail</w:t>
            </w:r>
            <w:r w:rsidR="00E942DC"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en équipe</w:t>
            </w:r>
            <w:r w:rsid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, </w:t>
            </w:r>
            <w:r w:rsidR="00A71895">
              <w:rPr>
                <w:rFonts w:ascii="Gotham HTF Light" w:hAnsi="Gotham HTF Light"/>
                <w:bCs/>
                <w:color w:val="0069A6" w:themeColor="accent1"/>
                <w:szCs w:val="16"/>
              </w:rPr>
              <w:t>qualité</w:t>
            </w:r>
            <w:r w:rsid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>s</w:t>
            </w:r>
            <w:r w:rsidR="00A71895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d’écoute</w:t>
            </w:r>
            <w:r w:rsidR="00A9583B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et diplomatie</w:t>
            </w:r>
          </w:p>
          <w:p w14:paraId="26528368" w14:textId="7BA3E5A1" w:rsidR="00DD2766" w:rsidRDefault="00E942DC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>Capacité d'adaptation</w:t>
            </w:r>
            <w:r w:rsidR="00DD2766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et disponibilité</w:t>
            </w:r>
            <w:r w:rsidR="00A774DA">
              <w:rPr>
                <w:rFonts w:ascii="Gotham HTF Light" w:hAnsi="Gotham HTF Light"/>
                <w:bCs/>
                <w:color w:val="0069A6" w:themeColor="accent1"/>
                <w:szCs w:val="16"/>
              </w:rPr>
              <w:t>/flexibilité</w:t>
            </w:r>
            <w:r w:rsidRPr="00E942DC"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 horaire</w:t>
            </w:r>
          </w:p>
          <w:p w14:paraId="26D04FB9" w14:textId="77777777" w:rsidR="00A71895" w:rsidRDefault="00DD2766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Sens de l’anticipation</w:t>
            </w:r>
            <w:r w:rsidR="00A71895">
              <w:rPr>
                <w:rFonts w:ascii="Gotham HTF Light" w:hAnsi="Gotham HTF Light"/>
                <w:bCs/>
                <w:color w:val="0069A6" w:themeColor="accent1"/>
                <w:szCs w:val="16"/>
              </w:rPr>
              <w:t>, réactivité</w:t>
            </w:r>
          </w:p>
          <w:p w14:paraId="201EDA07" w14:textId="111B92C8" w:rsidR="00E942DC" w:rsidRPr="00E942DC" w:rsidRDefault="00A71895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 xml:space="preserve">Aptitude au traitement des </w:t>
            </w:r>
            <w:r w:rsidR="00DD2766">
              <w:rPr>
                <w:rFonts w:ascii="Gotham HTF Light" w:hAnsi="Gotham HTF Light"/>
                <w:bCs/>
                <w:color w:val="0069A6" w:themeColor="accent1"/>
                <w:szCs w:val="16"/>
              </w:rPr>
              <w:t>urgence</w:t>
            </w: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s</w:t>
            </w:r>
          </w:p>
          <w:p w14:paraId="3FDB08DC" w14:textId="77777777" w:rsidR="001D480B" w:rsidRDefault="00DD2766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Curiosité professionnelle et prise d’initiative</w:t>
            </w:r>
          </w:p>
          <w:p w14:paraId="37A4D2F2" w14:textId="3233590F" w:rsidR="00DD2766" w:rsidRPr="00E942DC" w:rsidRDefault="00DD2766" w:rsidP="00E94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HTF Light" w:hAnsi="Gotham HTF Light"/>
                <w:bCs/>
                <w:color w:val="0069A6" w:themeColor="accent1"/>
                <w:szCs w:val="16"/>
              </w:rPr>
            </w:pPr>
            <w:r>
              <w:rPr>
                <w:rFonts w:ascii="Gotham HTF Light" w:hAnsi="Gotham HTF Light"/>
                <w:bCs/>
                <w:color w:val="0069A6" w:themeColor="accent1"/>
                <w:szCs w:val="16"/>
              </w:rPr>
              <w:t>Culture du reporting</w:t>
            </w:r>
          </w:p>
        </w:tc>
      </w:tr>
    </w:tbl>
    <w:p w14:paraId="3891F3A4" w14:textId="03C783EE" w:rsidR="001D480B" w:rsidRDefault="001D480B" w:rsidP="009F1430">
      <w:pPr>
        <w:spacing w:line="259" w:lineRule="auto"/>
        <w:jc w:val="both"/>
        <w:rPr>
          <w:rFonts w:ascii="Gotham HTF Light" w:hAnsi="Gotham HTF Light"/>
          <w:b/>
          <w:color w:val="276AA5" w:themeColor="accent6"/>
        </w:rPr>
      </w:pPr>
    </w:p>
    <w:sectPr w:rsidR="001D480B" w:rsidSect="00766614">
      <w:headerReference w:type="default" r:id="rId13"/>
      <w:pgSz w:w="11907" w:h="16839" w:code="9"/>
      <w:pgMar w:top="1008" w:right="720" w:bottom="284" w:left="354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777F" w14:textId="77777777" w:rsidR="002128D8" w:rsidRDefault="002128D8">
      <w:pPr>
        <w:spacing w:after="0" w:line="240" w:lineRule="auto"/>
      </w:pPr>
      <w:r>
        <w:separator/>
      </w:r>
    </w:p>
  </w:endnote>
  <w:endnote w:type="continuationSeparator" w:id="0">
    <w:p w14:paraId="4C7AB7BE" w14:textId="77777777" w:rsidR="002128D8" w:rsidRDefault="0021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HTF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AF6D" w14:textId="77777777" w:rsidR="002128D8" w:rsidRDefault="002128D8">
      <w:pPr>
        <w:spacing w:after="0" w:line="240" w:lineRule="auto"/>
      </w:pPr>
      <w:r>
        <w:separator/>
      </w:r>
    </w:p>
  </w:footnote>
  <w:footnote w:type="continuationSeparator" w:id="0">
    <w:p w14:paraId="3A6DC793" w14:textId="77777777" w:rsidR="002128D8" w:rsidRDefault="0021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B304C" w14:textId="77777777" w:rsidR="00544226" w:rsidRDefault="00740B60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8D8"/>
    <w:multiLevelType w:val="hybridMultilevel"/>
    <w:tmpl w:val="F208E68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59"/>
    <w:multiLevelType w:val="hybridMultilevel"/>
    <w:tmpl w:val="144AD7E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61C1"/>
    <w:multiLevelType w:val="hybridMultilevel"/>
    <w:tmpl w:val="EC0C05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70C"/>
    <w:multiLevelType w:val="hybridMultilevel"/>
    <w:tmpl w:val="518CC89C"/>
    <w:lvl w:ilvl="0" w:tplc="040C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4" w15:restartNumberingAfterBreak="0">
    <w:nsid w:val="232046C6"/>
    <w:multiLevelType w:val="hybridMultilevel"/>
    <w:tmpl w:val="5142E1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C0C"/>
    <w:multiLevelType w:val="hybridMultilevel"/>
    <w:tmpl w:val="06D2F80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773E"/>
    <w:multiLevelType w:val="hybridMultilevel"/>
    <w:tmpl w:val="58565F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C7C36"/>
    <w:multiLevelType w:val="hybridMultilevel"/>
    <w:tmpl w:val="1278E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1D3"/>
    <w:multiLevelType w:val="hybridMultilevel"/>
    <w:tmpl w:val="8F10D35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D2530"/>
    <w:multiLevelType w:val="hybridMultilevel"/>
    <w:tmpl w:val="FFF4BE94"/>
    <w:lvl w:ilvl="0" w:tplc="7B26E920">
      <w:numFmt w:val="bullet"/>
      <w:lvlText w:val="•"/>
      <w:lvlJc w:val="left"/>
      <w:pPr>
        <w:ind w:left="-2160" w:hanging="675"/>
      </w:pPr>
      <w:rPr>
        <w:rFonts w:ascii="Gotham HTF Light" w:eastAsiaTheme="minorHAnsi" w:hAnsi="Gotham HTF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10" w15:restartNumberingAfterBreak="0">
    <w:nsid w:val="37AC7DC1"/>
    <w:multiLevelType w:val="hybridMultilevel"/>
    <w:tmpl w:val="6F2C8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75D7"/>
    <w:multiLevelType w:val="hybridMultilevel"/>
    <w:tmpl w:val="CE26FE34"/>
    <w:lvl w:ilvl="0" w:tplc="A8A8D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43CD"/>
    <w:multiLevelType w:val="hybridMultilevel"/>
    <w:tmpl w:val="B114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11E12"/>
    <w:multiLevelType w:val="hybridMultilevel"/>
    <w:tmpl w:val="C2DA9C7C"/>
    <w:lvl w:ilvl="0" w:tplc="040C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4" w15:restartNumberingAfterBreak="0">
    <w:nsid w:val="676E275A"/>
    <w:multiLevelType w:val="hybridMultilevel"/>
    <w:tmpl w:val="CFF46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A5CCF"/>
    <w:multiLevelType w:val="hybridMultilevel"/>
    <w:tmpl w:val="1CE28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99"/>
    <w:rsid w:val="00020CAC"/>
    <w:rsid w:val="0004314F"/>
    <w:rsid w:val="00072D77"/>
    <w:rsid w:val="000754D7"/>
    <w:rsid w:val="000A5DCE"/>
    <w:rsid w:val="000B6404"/>
    <w:rsid w:val="000D41AD"/>
    <w:rsid w:val="0014455E"/>
    <w:rsid w:val="00164F99"/>
    <w:rsid w:val="001670B5"/>
    <w:rsid w:val="0017567A"/>
    <w:rsid w:val="00175D58"/>
    <w:rsid w:val="001A52AF"/>
    <w:rsid w:val="001D480B"/>
    <w:rsid w:val="00203F5D"/>
    <w:rsid w:val="002128D8"/>
    <w:rsid w:val="00262BDC"/>
    <w:rsid w:val="00355A4F"/>
    <w:rsid w:val="003570B6"/>
    <w:rsid w:val="0039044D"/>
    <w:rsid w:val="003F6221"/>
    <w:rsid w:val="00404C50"/>
    <w:rsid w:val="004053E7"/>
    <w:rsid w:val="004263E2"/>
    <w:rsid w:val="0048693E"/>
    <w:rsid w:val="004E14C7"/>
    <w:rsid w:val="004E4CD0"/>
    <w:rsid w:val="005357B5"/>
    <w:rsid w:val="0053645D"/>
    <w:rsid w:val="00561CEF"/>
    <w:rsid w:val="005979EA"/>
    <w:rsid w:val="005B0AC9"/>
    <w:rsid w:val="005B0C90"/>
    <w:rsid w:val="006006D7"/>
    <w:rsid w:val="00644DF0"/>
    <w:rsid w:val="006B2428"/>
    <w:rsid w:val="006C5112"/>
    <w:rsid w:val="006F1647"/>
    <w:rsid w:val="006F63C1"/>
    <w:rsid w:val="00740B60"/>
    <w:rsid w:val="007555A6"/>
    <w:rsid w:val="00766614"/>
    <w:rsid w:val="0078550E"/>
    <w:rsid w:val="007E0468"/>
    <w:rsid w:val="007E524C"/>
    <w:rsid w:val="007E600A"/>
    <w:rsid w:val="0086129B"/>
    <w:rsid w:val="008953B5"/>
    <w:rsid w:val="008A0F9E"/>
    <w:rsid w:val="008D422A"/>
    <w:rsid w:val="008E4E7F"/>
    <w:rsid w:val="008F2E7E"/>
    <w:rsid w:val="00914EE5"/>
    <w:rsid w:val="00925A7A"/>
    <w:rsid w:val="009273E5"/>
    <w:rsid w:val="0094469D"/>
    <w:rsid w:val="00997FD6"/>
    <w:rsid w:val="009F1430"/>
    <w:rsid w:val="00A010F2"/>
    <w:rsid w:val="00A71895"/>
    <w:rsid w:val="00A774DA"/>
    <w:rsid w:val="00A9583B"/>
    <w:rsid w:val="00AE23E1"/>
    <w:rsid w:val="00AF6253"/>
    <w:rsid w:val="00AF6AA0"/>
    <w:rsid w:val="00B0076A"/>
    <w:rsid w:val="00B16797"/>
    <w:rsid w:val="00B57067"/>
    <w:rsid w:val="00B70F5C"/>
    <w:rsid w:val="00BE5B8A"/>
    <w:rsid w:val="00BF72E9"/>
    <w:rsid w:val="00C01C55"/>
    <w:rsid w:val="00C342C6"/>
    <w:rsid w:val="00C41958"/>
    <w:rsid w:val="00CC6F18"/>
    <w:rsid w:val="00CE6584"/>
    <w:rsid w:val="00D43F0F"/>
    <w:rsid w:val="00D567AB"/>
    <w:rsid w:val="00D732DA"/>
    <w:rsid w:val="00DC709D"/>
    <w:rsid w:val="00DD2766"/>
    <w:rsid w:val="00DE3C2E"/>
    <w:rsid w:val="00E20F80"/>
    <w:rsid w:val="00E4630C"/>
    <w:rsid w:val="00E5799B"/>
    <w:rsid w:val="00E661D4"/>
    <w:rsid w:val="00E6798F"/>
    <w:rsid w:val="00E942DC"/>
    <w:rsid w:val="00EA000D"/>
    <w:rsid w:val="00EA202A"/>
    <w:rsid w:val="00ED4D47"/>
    <w:rsid w:val="00EE78CF"/>
    <w:rsid w:val="00FA3A15"/>
    <w:rsid w:val="00FA7400"/>
    <w:rsid w:val="00FB0F73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E007"/>
  <w15:docId w15:val="{573120C8-E7F6-674F-93D0-A440D7A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637D" w:themeColor="text2" w:themeTint="E6"/>
        <w:lang w:val="fr-FR" w:eastAsia="en-US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0B"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0069A6" w:themeColor="accen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link w:val="DateCar"/>
    <w:uiPriority w:val="99"/>
    <w:unhideWhenUsed/>
    <w:qFormat/>
    <w:pPr>
      <w:spacing w:after="40"/>
      <w:jc w:val="right"/>
    </w:pPr>
    <w:rPr>
      <w:b/>
      <w:color w:val="0069A6" w:themeColor="accen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0069A6" w:themeColor="accent1"/>
      <w:sz w:val="32"/>
    </w:rPr>
  </w:style>
  <w:style w:type="paragraph" w:styleId="Normalcentr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tion">
    <w:name w:val="Quote"/>
    <w:basedOn w:val="Normal"/>
    <w:link w:val="CitationC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0069A6" w:themeColor="accen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 w:val="28"/>
    </w:rPr>
  </w:style>
  <w:style w:type="paragraph" w:customStyle="1" w:styleId="Destinataire">
    <w:name w:val="Destinataire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resse">
    <w:name w:val="Adresse"/>
    <w:basedOn w:val="Normal"/>
    <w:uiPriority w:val="10"/>
    <w:qFormat/>
    <w:pPr>
      <w:ind w:left="2880"/>
      <w:contextualSpacing/>
    </w:pPr>
  </w:style>
  <w:style w:type="paragraph" w:customStyle="1" w:styleId="Coordonnes">
    <w:name w:val="Coordonnées"/>
    <w:basedOn w:val="Normal"/>
    <w:uiPriority w:val="10"/>
    <w:qFormat/>
    <w:pPr>
      <w:contextualSpacing/>
    </w:pPr>
  </w:style>
  <w:style w:type="paragraph" w:customStyle="1" w:styleId="Entreprise">
    <w:name w:val="Entreprise"/>
    <w:basedOn w:val="Normal"/>
    <w:uiPriority w:val="10"/>
    <w:qFormat/>
    <w:pPr>
      <w:pBdr>
        <w:top w:val="single" w:sz="24" w:space="18" w:color="50637D" w:themeColor="text2" w:themeTint="E6"/>
      </w:pBdr>
      <w:spacing w:after="0"/>
    </w:pPr>
    <w:rPr>
      <w:b/>
      <w:color w:val="0069A6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ntroduction">
    <w:name w:val="Introduction"/>
    <w:basedOn w:val="Normal"/>
    <w:link w:val="PrsentationChar"/>
    <w:uiPriority w:val="3"/>
    <w:qFormat/>
    <w:pPr>
      <w:spacing w:after="380" w:line="319" w:lineRule="auto"/>
    </w:pPr>
    <w:rPr>
      <w:sz w:val="28"/>
    </w:rPr>
  </w:style>
  <w:style w:type="character" w:customStyle="1" w:styleId="PrsentationChar">
    <w:name w:val="Présentation Char"/>
    <w:basedOn w:val="Policepardfaut"/>
    <w:link w:val="Introduction"/>
    <w:uiPriority w:val="3"/>
    <w:rPr>
      <w:sz w:val="28"/>
    </w:rPr>
  </w:style>
  <w:style w:type="table" w:styleId="Grilledutableau">
    <w:name w:val="Table Grid"/>
    <w:basedOn w:val="TableauNormal"/>
    <w:uiPriority w:val="39"/>
    <w:rsid w:val="00ED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6">
    <w:name w:val="Colorful Grid Accent 6"/>
    <w:basedOn w:val="TableauNormal"/>
    <w:uiPriority w:val="73"/>
    <w:rsid w:val="00ED4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1F3" w:themeFill="accent6" w:themeFillTint="33"/>
    </w:tcPr>
    <w:tblStylePr w:type="firstRow">
      <w:rPr>
        <w:b/>
        <w:bCs/>
      </w:rPr>
      <w:tblPr/>
      <w:tcPr>
        <w:shd w:val="clear" w:color="auto" w:fill="9BC3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3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D4F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D4F7B" w:themeFill="accent6" w:themeFillShade="BF"/>
      </w:tcPr>
    </w:tblStylePr>
    <w:tblStylePr w:type="band1Vert">
      <w:tblPr/>
      <w:tcPr>
        <w:shd w:val="clear" w:color="auto" w:fill="83B5E1" w:themeFill="accent6" w:themeFillTint="7F"/>
      </w:tcPr>
    </w:tblStylePr>
    <w:tblStylePr w:type="band1Horz">
      <w:tblPr/>
      <w:tcPr>
        <w:shd w:val="clear" w:color="auto" w:fill="83B5E1" w:themeFill="accent6" w:themeFillTint="7F"/>
      </w:tcPr>
    </w:tblStylePr>
  </w:style>
  <w:style w:type="paragraph" w:styleId="Paragraphedeliste">
    <w:name w:val="List Paragraph"/>
    <w:basedOn w:val="Normal"/>
    <w:uiPriority w:val="34"/>
    <w:unhideWhenUsed/>
    <w:qFormat/>
    <w:rsid w:val="00DE3C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3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661D4"/>
    <w:rPr>
      <w:color w:val="FFC09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61D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D4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80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8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8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CD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9A6"/>
      </a:accent1>
      <a:accent2>
        <a:srgbClr val="FF8E19"/>
      </a:accent2>
      <a:accent3>
        <a:srgbClr val="A5A5A5"/>
      </a:accent3>
      <a:accent4>
        <a:srgbClr val="F5BD25"/>
      </a:accent4>
      <a:accent5>
        <a:srgbClr val="5B9BD5"/>
      </a:accent5>
      <a:accent6>
        <a:srgbClr val="276AA5"/>
      </a:accent6>
      <a:hlink>
        <a:srgbClr val="FFC09F"/>
      </a:hlink>
      <a:folHlink>
        <a:srgbClr val="0000FF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89C09F3D-F5AC-4DF3-A90E-28B60E8E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Duval</dc:creator>
  <cp:lastModifiedBy>SYLVIE SANCHEZ (Personnel)</cp:lastModifiedBy>
  <cp:revision>2</cp:revision>
  <cp:lastPrinted>2021-04-28T11:37:00Z</cp:lastPrinted>
  <dcterms:created xsi:type="dcterms:W3CDTF">2022-01-31T14:01:00Z</dcterms:created>
  <dcterms:modified xsi:type="dcterms:W3CDTF">2022-01-31T14:01:00Z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